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11 (Installation Works)</w:t>
      </w:r>
    </w:p>
    <w:p w:rsidR="00000000" w:rsidDel="00000000" w:rsidP="00000000" w:rsidRDefault="00000000" w:rsidRPr="00000000" w14:paraId="00000003">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this Schedule should be used</w:t>
      </w:r>
    </w:p>
    <w:p w:rsidR="00000000" w:rsidDel="00000000" w:rsidP="00000000" w:rsidRDefault="00000000" w:rsidRPr="00000000" w14:paraId="00000004">
      <w:pPr>
        <w:keepNext w:val="0"/>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Deliverables requiring installation by the Supplier.</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things must be installed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accept the Installation Works, or </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reject the Installation Works and provide reasons to the Supplier if, in the Buyer’s reasonable opinion, the Installation Works do not meet the requirements set out in the Order Form (or elsewhere in this Contract).</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Order Form (or elsewhere in this Contract), the Buyer may terminate this Contract for material Default.</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Installation Works shall be deemed to be completed when the Supplier receives a notice issued by the Buyer in accordance with Paragraph 2.2.1 Notwithstanding the acceptance of any Installation Works in accordance with Paragraph 2.2), the Supplier shall remain solely responsible for ensuring that the Goods and the Installation Works conform to the specification in the Order Form (or elsewhere in this Contract). No rights of estoppel or waiver shall arise as a result of the acceptance by the Buyer of the Installation Works.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Contract Period, the Supplier shall have at all times all licences, approvals and consents necessary to enable the Supplier and the Supplier Staff to carry out the Installation Works.</w:t>
      </w:r>
    </w:p>
    <w:p w:rsidR="00000000" w:rsidDel="00000000" w:rsidP="00000000" w:rsidRDefault="00000000" w:rsidRPr="00000000" w14:paraId="0000000C">
      <w:pPr>
        <w:tabs>
          <w:tab w:val="left" w:pos="426"/>
        </w:tabs>
        <w:spacing w:before="240" w:lineRule="auto"/>
        <w:jc w:val="left"/>
        <w:rPr>
          <w:rFonts w:ascii="Arial" w:cs="Arial" w:eastAsia="Arial" w:hAnsi="Arial"/>
          <w:b w:val="1"/>
          <w:sz w:val="24"/>
          <w:szCs w:val="24"/>
        </w:rPr>
      </w:pPr>
      <w:bookmarkStart w:colFirst="0" w:colLast="0" w:name="_heading=h.tyjcwt" w:id="5"/>
      <w:bookmarkEnd w:id="5"/>
      <w:r w:rsidDel="00000000" w:rsidR="00000000" w:rsidRPr="00000000">
        <w:rPr>
          <w:rtl w:val="0"/>
        </w:rPr>
      </w:r>
    </w:p>
    <w:sectPr>
      <w:headerReference r:id="rId7" w:type="default"/>
      <w:footerReference r:id="rId8" w:type="default"/>
      <w:pgSz w:h="16838" w:w="11906" w:orient="portrait"/>
      <w:pgMar w:bottom="1440" w:top="1440" w:left="1440" w:right="1440" w:header="708" w:footer="68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1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RM6241</w:t>
    </w:r>
  </w:p>
  <w:p w:rsidR="00000000" w:rsidDel="00000000" w:rsidP="00000000" w:rsidRDefault="00000000" w:rsidRPr="00000000" w14:paraId="0000001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bookmarkStart w:colFirst="0" w:colLast="0" w:name="bookmark=id.3dy6vkm" w:id="6"/>
    <w:bookmarkEnd w:id="6"/>
    <w:r w:rsidDel="00000000" w:rsidR="00000000" w:rsidRPr="00000000">
      <w:rPr>
        <w:rFonts w:ascii="Arial" w:cs="Arial" w:eastAsia="Arial" w:hAnsi="Arial"/>
        <w:sz w:val="20"/>
        <w:szCs w:val="20"/>
        <w:rtl w:val="0"/>
      </w:rPr>
      <w:t xml:space="preserve">1</w:t>
    </w:r>
  </w:p>
  <w:p w:rsidR="00000000" w:rsidDel="00000000" w:rsidP="00000000" w:rsidRDefault="00000000" w:rsidRPr="00000000" w14:paraId="00000014">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Schedule 11 (Installation Works)</w:t>
    </w:r>
  </w:p>
  <w:p w:rsidR="00000000" w:rsidDel="00000000" w:rsidP="00000000" w:rsidRDefault="00000000" w:rsidRPr="00000000" w14:paraId="0000000E">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Order Ref:</w:t>
    </w:r>
  </w:p>
  <w:p w:rsidR="00000000" w:rsidDel="00000000" w:rsidP="00000000" w:rsidRDefault="00000000" w:rsidRPr="00000000" w14:paraId="0000000F">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2022</w:t>
    </w:r>
  </w:p>
  <w:p w:rsidR="00000000" w:rsidDel="00000000" w:rsidP="00000000" w:rsidRDefault="00000000" w:rsidRPr="00000000" w14:paraId="00000010">
    <w:pPr>
      <w:spacing w:after="0" w:lineRule="auto"/>
      <w:rPr>
        <w:rFonts w:ascii="Arial" w:cs="Arial" w:eastAsia="Arial" w:hAnsi="Arial"/>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numbered" w:customStyle="1">
    <w:name w:val="GPS L1 Schedule numbered"/>
    <w:basedOn w:val="Normal"/>
    <w:link w:val="GPSL1SchedulenumberedChar1"/>
    <w:qFormat w:val="1"/>
    <w:pPr>
      <w:numPr>
        <w:numId w:val="2"/>
      </w:numPr>
      <w:tabs>
        <w:tab w:val="left" w:pos="851"/>
      </w:tabs>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Body3" w:customStyle="1">
    <w:name w:val="Body3"/>
    <w:basedOn w:val="Normal"/>
    <w:uiPriority w:val="99"/>
    <w:pPr>
      <w:overflowPunct w:val="1"/>
      <w:autoSpaceDE w:val="1"/>
      <w:autoSpaceDN w:val="1"/>
      <w:adjustRightInd w:val="1"/>
      <w:spacing w:after="220"/>
      <w:ind w:left="1412"/>
      <w:textAlignment w:val="auto"/>
    </w:pPr>
    <w:rPr>
      <w:rFonts w:ascii="Trebuchet MS" w:cs="Times New Roman" w:hAnsi="Trebuchet MS"/>
      <w:sz w:val="20"/>
      <w:szCs w:val="20"/>
    </w:rPr>
  </w:style>
  <w:style w:type="paragraph" w:styleId="ListParagraph">
    <w:name w:val="List Paragraph"/>
    <w:basedOn w:val="Normal"/>
    <w:uiPriority w:val="34"/>
    <w:qFormat w:val="1"/>
    <w:pPr>
      <w:ind w:left="720"/>
      <w:contextualSpacing w:val="1"/>
    </w:pPr>
  </w:style>
  <w:style w:type="paragraph" w:styleId="BodyTextIndent">
    <w:name w:val="Body Text Indent"/>
    <w:basedOn w:val="Normal"/>
    <w:link w:val="BodyTextIndentChar"/>
    <w:pPr>
      <w:numPr>
        <w:numId w:val="17"/>
      </w:numPr>
      <w:overflowPunct w:val="1"/>
      <w:autoSpaceDE w:val="1"/>
      <w:autoSpaceDN w:val="1"/>
      <w:textAlignment w:val="auto"/>
    </w:pPr>
    <w:rPr>
      <w:rFonts w:cs="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paragraph" w:styleId="GPsDefinition" w:customStyle="1">
    <w:name w:val="GPs Definition"/>
    <w:basedOn w:val="Normal"/>
    <w:qFormat w:val="1"/>
    <w:pPr>
      <w:numPr>
        <w:numId w:val="18"/>
      </w:numPr>
      <w:tabs>
        <w:tab w:val="left" w:pos="175"/>
      </w:tabs>
      <w:spacing w:after="120"/>
    </w:pPr>
  </w:style>
  <w:style w:type="paragraph" w:styleId="GPSDefinitionL2" w:customStyle="1">
    <w:name w:val="GPS Definition L2"/>
    <w:basedOn w:val="GPsDefinition"/>
    <w:link w:val="GPSDefinitionL2Char"/>
    <w:qFormat w:val="1"/>
    <w:pPr>
      <w:numPr>
        <w:ilvl w:val="1"/>
      </w:numPr>
    </w:pPr>
  </w:style>
  <w:style w:type="paragraph" w:styleId="GPSDefinitionL3" w:customStyle="1">
    <w:name w:val="GPS Definition L3"/>
    <w:basedOn w:val="GPSDefinitionL2"/>
    <w:qFormat w:val="1"/>
    <w:pPr>
      <w:numPr>
        <w:ilvl w:val="2"/>
      </w:numPr>
      <w:ind w:left="2500" w:hanging="180"/>
    </w:pPr>
  </w:style>
  <w:style w:type="paragraph" w:styleId="GPSDefinitionL4" w:customStyle="1">
    <w:name w:val="GPS Definition L4"/>
    <w:basedOn w:val="GPSDefinitionL3"/>
    <w:qFormat w:val="1"/>
    <w:pPr>
      <w:numPr>
        <w:ilvl w:val="3"/>
      </w:numPr>
      <w:tabs>
        <w:tab w:val="num" w:pos="360"/>
      </w:tabs>
      <w:ind w:left="3220"/>
    </w:p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character" w:styleId="GPSDefinitionL2Char" w:customStyle="1">
    <w:name w:val="GPS Definition L2 Char"/>
    <w:link w:val="GPSDefinitionL2"/>
    <w:locked w:val="1"/>
    <w:rPr>
      <w:rFonts w:ascii="Calibri" w:cs="Arial" w:eastAsia="Times New Roman" w:hAnsi="Calibri"/>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23olvizxMT9nLIovS/zQmK/oxYA==">AMUW2mVwxfV9FbzurC3sSo405CqkFa79t+8nqN8G1XtHBBuDnaqEbdrLMbKxEyQojM8E5dLEpaSQFiNuO+UUqUcftQVed70OsvpKxYL+DoqvsH0Qp45JpUtrSE3vPE2M6cfIyqFTE8IgibO4auteaP8p4hR2giF9bsx224ubV0qdYFGbXt43UZxAOhA7oKFecpPOkIrECQsDnSXyEp0TrC/mh3YyjOSZcw==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2019-04-10T23:16:00Z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